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B20" w:rsidRPr="00153B20" w:rsidRDefault="00153B20" w:rsidP="00153B20">
      <w:pPr>
        <w:spacing w:after="198" w:line="253" w:lineRule="auto"/>
        <w:ind w:left="840" w:right="906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МІНІСТЕРСТВО ОСВІТИ І НАУКИ УКРАЇНИ  </w:t>
      </w:r>
    </w:p>
    <w:p w:rsidR="00153B20" w:rsidRPr="00153B20" w:rsidRDefault="00153B20" w:rsidP="00153B20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ВІДОКРЕМЛЕНИЙ СТРУКТУРНИЙ ПІДРОЗДІЛ</w:t>
      </w:r>
    </w:p>
    <w:p w:rsidR="00153B20" w:rsidRPr="00153B20" w:rsidRDefault="00153B20" w:rsidP="00153B20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«</w:t>
      </w:r>
      <w:r w:rsidR="0038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ВИШНЯНСЬКИЙ</w:t>
      </w:r>
      <w:r w:rsidRPr="00153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8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ФАХОВИЙ</w:t>
      </w:r>
      <w:r w:rsidRPr="00153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382A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КОЛЕДЖ</w:t>
      </w:r>
      <w:r w:rsidRPr="00153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53B20" w:rsidRPr="00153B20" w:rsidRDefault="00153B20" w:rsidP="00153B20">
      <w:pPr>
        <w:spacing w:after="0" w:line="240" w:lineRule="auto"/>
        <w:ind w:right="75" w:firstLine="1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ЛЬВІВСЬКОГО Н</w:t>
      </w:r>
      <w:r w:rsidRPr="00153B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АЦІОНАЛЬНОГО УНІВЕРСИТЕТУ ПРИРОДОКОРИСТУВАННЯ</w:t>
      </w:r>
    </w:p>
    <w:p w:rsidR="00153B20" w:rsidRPr="00153B20" w:rsidRDefault="00153B20" w:rsidP="00153B20">
      <w:pPr>
        <w:spacing w:after="0"/>
        <w:ind w:lef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ind w:lef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ind w:lef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ind w:lef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ind w:lef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ind w:lef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ind w:left="5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 </w:t>
      </w:r>
    </w:p>
    <w:p w:rsidR="00153B20" w:rsidRPr="00153B20" w:rsidRDefault="00153B20" w:rsidP="00153B20">
      <w:pPr>
        <w:spacing w:after="100" w:line="357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СТРАТЕГІЯ 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РОЗВИТКУ 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ВІДОКРЕМЛЕНОГО СТРУКТУРНОГО ПІДРОЗДІЛУ «</w:t>
      </w:r>
      <w:r w:rsidR="00382A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ВИШНЯНСЬКИЙ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382A26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ФАХОВИЙ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</w:t>
      </w:r>
      <w:r w:rsidR="00E745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КОЛЕДЖ</w:t>
      </w:r>
      <w:bookmarkStart w:id="0" w:name="_GoBack"/>
      <w:bookmarkEnd w:id="0"/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53B20" w:rsidRPr="00153B20" w:rsidRDefault="00153B20" w:rsidP="00153B20">
      <w:pPr>
        <w:spacing w:after="321"/>
        <w:ind w:left="10" w:right="75" w:hanging="1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ЛЬВІВСЬКОГО Н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АЦІОНАЛЬНОГО УНІВЕРСИТЕТУ ПРИРОДОКОРИСТУВАННЯ</w:t>
      </w:r>
    </w:p>
    <w:p w:rsidR="00153B20" w:rsidRPr="00153B20" w:rsidRDefault="00153B20" w:rsidP="00153B20">
      <w:pPr>
        <w:spacing w:after="153"/>
        <w:ind w:left="10" w:right="7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(на </w:t>
      </w: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val="uk-UA" w:eastAsia="ru-RU"/>
        </w:rPr>
        <w:t xml:space="preserve">період </w:t>
      </w: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20</w:t>
      </w: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val="uk-UA" w:eastAsia="ru-RU"/>
        </w:rPr>
        <w:t>22</w:t>
      </w: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>-202</w:t>
      </w: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val="uk-UA" w:eastAsia="ru-RU"/>
        </w:rPr>
        <w:t>7рр.</w:t>
      </w:r>
      <w:r w:rsidRPr="00153B20">
        <w:rPr>
          <w:rFonts w:ascii="Times New Roman" w:eastAsia="Times New Roman" w:hAnsi="Times New Roman" w:cs="Times New Roman"/>
          <w:b/>
          <w:color w:val="000000"/>
          <w:sz w:val="48"/>
          <w:lang w:eastAsia="ru-RU"/>
        </w:rPr>
        <w:t xml:space="preserve">) </w:t>
      </w:r>
    </w:p>
    <w:p w:rsidR="00153B20" w:rsidRPr="00153B20" w:rsidRDefault="00153B20" w:rsidP="00153B20">
      <w:pPr>
        <w:spacing w:after="0"/>
        <w:ind w:left="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153B20" w:rsidRPr="00153B20" w:rsidRDefault="00153B20" w:rsidP="00153B20">
      <w:pPr>
        <w:spacing w:after="0"/>
        <w:ind w:left="3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40"/>
          <w:lang w:eastAsia="ru-RU"/>
        </w:rPr>
        <w:t xml:space="preserve"> </w:t>
      </w:r>
    </w:p>
    <w:p w:rsidR="00153B20" w:rsidRPr="00153B20" w:rsidRDefault="00153B20" w:rsidP="00153B20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153B20" w:rsidRPr="00153B20" w:rsidRDefault="00153B20" w:rsidP="00153B20">
      <w:pPr>
        <w:spacing w:after="39" w:line="253" w:lineRule="auto"/>
        <w:ind w:left="840" w:right="902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2022  </w:t>
      </w:r>
    </w:p>
    <w:p w:rsidR="00153B20" w:rsidRPr="00153B20" w:rsidRDefault="00153B20" w:rsidP="00153B20">
      <w:pPr>
        <w:spacing w:after="39" w:line="248" w:lineRule="auto"/>
        <w:ind w:left="-15"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3B20" w:rsidRPr="00153B20" w:rsidRDefault="00153B20" w:rsidP="00153B20">
      <w:pPr>
        <w:spacing w:after="39" w:line="248" w:lineRule="auto"/>
        <w:ind w:left="-15"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3B20" w:rsidRPr="00153B20" w:rsidRDefault="00153B20" w:rsidP="00153B20">
      <w:pPr>
        <w:spacing w:after="35" w:line="360" w:lineRule="auto"/>
        <w:ind w:left="-15"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Стратегія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Стратегія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Відокремленого структурного підрозділу «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Вишнянського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фахового коледжу Львівського національного університету природокористування»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розроблена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України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«Про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«Про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вищу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»,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Закону «Про фахову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передвищу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освіту»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Положення про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ВСП»Вишнянського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фахового коледжу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Львівського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національного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університету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природокористування»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інших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нормативно-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документів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регламентують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регулюють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діяльність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закладу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сучасних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умовах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Пріоритетом навчального закладу має стати розвиток творчої активності викладачів і студентів, підвищення їх професійності з науково-пошуковим підходом, що опирається на  новітні технології процесу навчання. </w:t>
      </w:r>
    </w:p>
    <w:p w:rsidR="00153B20" w:rsidRPr="00153B20" w:rsidRDefault="00153B20" w:rsidP="00153B20">
      <w:pPr>
        <w:spacing w:after="61" w:line="360" w:lineRule="auto"/>
        <w:ind w:left="900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ОСНОВНІ ЗАВДАННЯ СТРАТЕГІЧНОГО РОЗВИТКУ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КОЛЕДЖУ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:rsidR="00153B20" w:rsidRPr="00153B20" w:rsidRDefault="00153B20" w:rsidP="00153B20">
      <w:pPr>
        <w:numPr>
          <w:ilvl w:val="0"/>
          <w:numId w:val="22"/>
        </w:numPr>
        <w:spacing w:after="57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якісна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підготовка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фахівців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усіма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ліцензованими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програмами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діяльності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153B20" w:rsidRPr="00153B20" w:rsidRDefault="00153B20" w:rsidP="00153B20">
      <w:pPr>
        <w:numPr>
          <w:ilvl w:val="0"/>
          <w:numId w:val="22"/>
        </w:numPr>
        <w:spacing w:after="60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</w:t>
      </w:r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вання</w:t>
      </w:r>
      <w:proofErr w:type="spellEnd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висококваліфіковаих</w:t>
      </w:r>
      <w:proofErr w:type="spellEnd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випускників,конкурентноспроможних</w:t>
      </w:r>
      <w:proofErr w:type="spellEnd"/>
      <w:proofErr w:type="gramEnd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спеціалістів</w:t>
      </w:r>
      <w:proofErr w:type="spellEnd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ринку </w:t>
      </w:r>
      <w:proofErr w:type="spellStart"/>
      <w:r w:rsidR="00382A2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праці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153B20" w:rsidRPr="00153B20" w:rsidRDefault="00153B20" w:rsidP="00153B20">
      <w:pPr>
        <w:numPr>
          <w:ilvl w:val="0"/>
          <w:numId w:val="22"/>
        </w:numPr>
        <w:spacing w:after="58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умов для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постійного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підвищення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кваліфікації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викладацького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складу; </w:t>
      </w:r>
    </w:p>
    <w:p w:rsidR="00153B20" w:rsidRPr="00153B20" w:rsidRDefault="00153B20" w:rsidP="00153B20">
      <w:pPr>
        <w:numPr>
          <w:ilvl w:val="0"/>
          <w:numId w:val="22"/>
        </w:numPr>
        <w:spacing w:after="58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розвиток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науково-інноваційної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82A26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та науково-пошукової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діяльності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53B20" w:rsidRPr="00153B20" w:rsidRDefault="00153B20" w:rsidP="00153B20">
      <w:pPr>
        <w:numPr>
          <w:ilvl w:val="0"/>
          <w:numId w:val="22"/>
        </w:numPr>
        <w:spacing w:after="58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умов для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реалізації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потенційних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можливостей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викладачів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153B20" w:rsidRPr="00153B20" w:rsidRDefault="00153B20" w:rsidP="00153B20">
      <w:pPr>
        <w:numPr>
          <w:ilvl w:val="0"/>
          <w:numId w:val="22"/>
        </w:numPr>
        <w:spacing w:after="57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с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творення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сучасних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умов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організації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освітнього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побуту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викладачів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працівників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коледжу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:rsidR="00153B20" w:rsidRPr="00153B20" w:rsidRDefault="00153B20" w:rsidP="00153B20">
      <w:pPr>
        <w:numPr>
          <w:ilvl w:val="0"/>
          <w:numId w:val="22"/>
        </w:numPr>
        <w:spacing w:after="37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досконалення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взаємодії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ЛНУП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іншими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навчальними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закладами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усіх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рівнів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акредитації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153B20" w:rsidRPr="00153B20" w:rsidRDefault="00153B20" w:rsidP="00153B20">
      <w:pPr>
        <w:numPr>
          <w:ilvl w:val="0"/>
          <w:numId w:val="22"/>
        </w:numPr>
        <w:spacing w:after="37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розширення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міжнародного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співробітництва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53B20" w:rsidRPr="00153B20" w:rsidRDefault="00153B20" w:rsidP="00153B20">
      <w:pPr>
        <w:numPr>
          <w:ilvl w:val="0"/>
          <w:numId w:val="22"/>
        </w:numPr>
        <w:spacing w:after="37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підвищення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ефективності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профорієнтаційної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оптимальної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кількості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розширення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ступеневої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підготовки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фахівців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153B20" w:rsidRPr="00153B20" w:rsidRDefault="00153B20" w:rsidP="00153B20">
      <w:pPr>
        <w:numPr>
          <w:ilvl w:val="0"/>
          <w:numId w:val="22"/>
        </w:numPr>
        <w:spacing w:after="37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lastRenderedPageBreak/>
        <w:t>п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ідвищення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мобільності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шляхом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удосконалення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технологій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вивчення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іноземних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залучення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міжнародних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освітніх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програмах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</w:t>
      </w:r>
      <w:r w:rsidR="00B866D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програмою обміну студентами між закладами-партнерами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53B20" w:rsidRPr="00153B20" w:rsidRDefault="00153B20" w:rsidP="00153B20">
      <w:pPr>
        <w:spacing w:after="37" w:line="360" w:lineRule="auto"/>
        <w:ind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53B20" w:rsidRPr="00153B20" w:rsidRDefault="00153B20" w:rsidP="00153B20">
      <w:pPr>
        <w:spacing w:after="34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ПІДВИЩЕННЯ ЯКОСТІ ОСВІТНЬОГО ПРОЦЕСУ</w:t>
      </w:r>
    </w:p>
    <w:p w:rsidR="00153B20" w:rsidRPr="00153B20" w:rsidRDefault="00153B20" w:rsidP="00153B20">
      <w:pPr>
        <w:spacing w:after="34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Основою метою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підвищення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є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неперервного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підвищення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врахуванням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європейських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національних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стандартів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фахової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передвищої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інтересів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стейкхолдерів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53B20" w:rsidRPr="00153B20" w:rsidRDefault="00153B20" w:rsidP="00153B20">
      <w:pPr>
        <w:spacing w:after="40" w:line="360" w:lineRule="auto"/>
        <w:ind w:left="-15"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Основним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завданням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є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підвищення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навчання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proofErr w:type="gram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впровадження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інноваційних</w:t>
      </w:r>
      <w:proofErr w:type="gramEnd"/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технологій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відкриття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ліцензування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спеціальностей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робочих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професій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створення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підвищення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кваліфікації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працівників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середньої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ланки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виробництва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аграрному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секторі</w:t>
      </w:r>
      <w:proofErr w:type="spellEnd"/>
      <w:r w:rsidR="00B866DF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, освіта дорослих.</w:t>
      </w:r>
    </w:p>
    <w:p w:rsidR="00153B20" w:rsidRPr="00153B20" w:rsidRDefault="00153B20" w:rsidP="00153B20">
      <w:pPr>
        <w:spacing w:after="3" w:line="360" w:lineRule="auto"/>
        <w:ind w:left="-15" w:right="65" w:firstLine="890"/>
        <w:jc w:val="both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Дуже важливим є  удосконалення  існуючих та пошук нових форм  профорієнтаційної роботи, роботи приймальної комісії, проведення дня відкритих дверей, постійного спілкування із  випускниками шкіл  прилеглих районів, створення  інтернет-сторінки абітурієнта, що дасть змогу  приваблювати молодь на навчання в коледж, проводити постійний моніторинг якості навчання через  соціологічне опитування «Викладач очима студентів». </w:t>
      </w:r>
    </w:p>
    <w:p w:rsidR="00153B20" w:rsidRPr="00153B20" w:rsidRDefault="00153B20" w:rsidP="00153B20">
      <w:pPr>
        <w:keepNext/>
        <w:keepLines/>
        <w:spacing w:after="0" w:line="360" w:lineRule="auto"/>
        <w:ind w:left="2444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</w:pPr>
    </w:p>
    <w:p w:rsidR="00153B20" w:rsidRPr="00153B20" w:rsidRDefault="00153B20" w:rsidP="00153B20">
      <w:pPr>
        <w:spacing w:after="34" w:line="36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153B20" w:rsidRPr="00153B20" w:rsidRDefault="00153B20" w:rsidP="00153B20">
      <w:pPr>
        <w:spacing w:after="34" w:line="36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153B20" w:rsidRPr="00153B20" w:rsidRDefault="00153B20" w:rsidP="00153B20">
      <w:pPr>
        <w:spacing w:after="34" w:line="360" w:lineRule="auto"/>
        <w:ind w:left="900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:rsidR="00B866DF" w:rsidRDefault="00153B20" w:rsidP="00153B20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РОЗВИТ</w:t>
      </w:r>
      <w:r w:rsidR="00B866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ОК СТУДЕНТСЬКОГО САМОВРЯДУВАННЯ.</w:t>
      </w:r>
    </w:p>
    <w:p w:rsidR="00153B20" w:rsidRPr="00153B20" w:rsidRDefault="00B866DF" w:rsidP="00153B20">
      <w:pPr>
        <w:spacing w:after="0" w:line="360" w:lineRule="auto"/>
        <w:ind w:left="90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ВИХОВНА РОБОТ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А</w:t>
      </w:r>
      <w:r w:rsidR="00153B20" w:rsidRPr="00153B2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ЗІ СТУДЕНТАМИ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Основними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напрямками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виховної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коледжі</w:t>
      </w: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національно-патріотичне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духовно-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моральне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художньо-естетичне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трудове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фізичне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виховання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B866DF" w:rsidRDefault="00B866DF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Реалізація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напрямів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передбачає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виконання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таких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завдань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: </w:t>
      </w:r>
    </w:p>
    <w:p w:rsidR="00153B20" w:rsidRPr="00153B20" w:rsidRDefault="00B866DF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сприяння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самореалізації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кожної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людини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духовної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інтелектуальної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особистості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свідомого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громадянина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патріота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своєї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держави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153B20" w:rsidRPr="00153B20" w:rsidRDefault="00B866DF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розвиток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правової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культуру через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повагу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Конституції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законодавства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державної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символіки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знання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дотримання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правових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норм i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принципів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153B20" w:rsidRPr="00153B20" w:rsidRDefault="00B866DF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формування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національн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самосвідомість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яке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плекає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власну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національну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традицію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та культуру</w:t>
      </w:r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153B20" w:rsidRPr="00153B20" w:rsidRDefault="00B866DF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лекання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</w:t>
      </w:r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української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землі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як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національн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багатства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виховування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любов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пошани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української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мови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культури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153B20" w:rsidRPr="00153B20" w:rsidRDefault="00B866DF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навичок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соціальної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активності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творчої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iнiцiативи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підприємництва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особистої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вiдповiдальностi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прийняті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рішення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вчинки</w:t>
      </w:r>
      <w:proofErr w:type="spellEnd"/>
      <w:r w:rsidR="00153B20"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6.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формуванню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життєвої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здорового способу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протидії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виявам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антигромадської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поведінки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правопорушень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бездуховності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аморальності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7. активно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залучати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студентів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міжнародних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обмінних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грантових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задля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ознайомлення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й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запозичення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найкращих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практик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реформування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різних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галузей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державного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громадського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інших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країн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8.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сприяти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формуванню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умов для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самореалiзацiї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особистості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вiдповiдно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її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здібностей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власних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i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суспільних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потреб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зацікавлень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; 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9.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залучати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студентську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молодь,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випускників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участі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доброчинних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акціях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підтримки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студентських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ініціатив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академічних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програм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Важливим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напрямком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освітньому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виховання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студента як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самостійного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готового до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повсякденної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впевненого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поглядах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 активною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життєвою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позицією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патріотизмом</w:t>
      </w:r>
      <w:proofErr w:type="spellEnd"/>
      <w:proofErr w:type="gram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С</w:t>
      </w:r>
      <w:r w:rsidR="00B866D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труктура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студентського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самоврядування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повинна</w:t>
      </w:r>
      <w:proofErr w:type="gram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бути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потужним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каталізатором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вагомим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фактором 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всій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освіти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коледжу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залучена до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організації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навчального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процесу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всіх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ланках, в тому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числі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профорієнтаційної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роботи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153B20" w:rsidRPr="00E015E4" w:rsidRDefault="00E015E4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Лише злагоджена робота усіх ланок освітнього процесу дасть змогу підготувати у коледжі кваліфікованого фахового молодшого бакалавра, конкурентоспроможного та затребуваного на ринку праці. </w:t>
      </w:r>
    </w:p>
    <w:p w:rsidR="00153B20" w:rsidRPr="00153B20" w:rsidRDefault="00153B20" w:rsidP="00153B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153B20" w:rsidRPr="00153B20" w:rsidRDefault="00153B20" w:rsidP="00153B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:rsidR="00153B20" w:rsidRPr="00153B20" w:rsidRDefault="00153B20" w:rsidP="00153B2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ЗАБЕЗПЕЧЕННЯ ФІНАНСОВОЇ СТІЙКОСТІ  </w:t>
      </w:r>
      <w:r w:rsidR="00657F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МАТЕРІАЛЬНО-ТЕХНІЧНА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Б</w:t>
      </w:r>
      <w:r w:rsidR="00657FD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АЗА</w:t>
      </w:r>
      <w:r w:rsidRPr="00153B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 xml:space="preserve"> КОЛЕДЖУ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Головними завданнями фінансово-господарської діяльності коледжу має стати</w:t>
      </w:r>
      <w:r w:rsidR="00657FD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раціональне</w:t>
      </w: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виконання бюджету ВСП»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Вишнянського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фахового коледжу ЛНУП»  та планове і зважене управління витратною частиною бюджету, </w:t>
      </w:r>
      <w:r w:rsidR="00657FD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п</w:t>
      </w: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ошук шляхів  наповнення бюджету коледжу позабюджетними коштами. 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Одним з основних   напрямків наповнення спеціального фонду бюджету коледжу ма</w:t>
      </w:r>
      <w:r w:rsidR="00657FD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ють</w:t>
      </w: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стати </w:t>
      </w:r>
      <w:r w:rsidR="00657FD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>надходження від сільськогосподарського виробництво із</w:t>
      </w: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суміщення навчання з виробничою діяльністю</w:t>
      </w:r>
      <w:r w:rsidR="00657FD7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 студента</w:t>
      </w: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  <w:t xml:space="preserve">, що окрім  фінансового доходу дасть можливість студенту  практично закріпити  набуті теоретичні знання. </w:t>
      </w:r>
    </w:p>
    <w:p w:rsidR="00153B20" w:rsidRPr="00153B20" w:rsidRDefault="00153B20" w:rsidP="00153B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менш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важливим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завданням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фінансово-господарської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діяльності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коледжу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є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матеріально-технічного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розвитку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proofErr w:type="gram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комфортного</w:t>
      </w:r>
      <w:proofErr w:type="gram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навколишнього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середовища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 кожного студента,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викладача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працівників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коледжу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153B20" w:rsidRPr="00153B20" w:rsidRDefault="00153B20" w:rsidP="00153B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цього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proofErr w:type="gram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необхідно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постійно</w:t>
      </w:r>
      <w:proofErr w:type="spellEnd"/>
      <w:proofErr w:type="gram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підтримувати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на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належному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рівні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дієздатність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усіх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систем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забезпечення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функціонування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коледжу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створити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належні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умови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навчання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праці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проживання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і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відпочинку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студентів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у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відповідності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вимог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proofErr w:type="spellStart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сьогодення</w:t>
      </w:r>
      <w:proofErr w:type="spellEnd"/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153B20" w:rsidRPr="00153B20" w:rsidRDefault="00153B20" w:rsidP="00153B2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32"/>
          <w:szCs w:val="32"/>
          <w:lang w:val="uk-UA" w:eastAsia="ru-RU"/>
        </w:rPr>
      </w:pPr>
      <w:r w:rsidRPr="00153B2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9534A" w:rsidRPr="00153B20" w:rsidRDefault="00C9534A" w:rsidP="00153B20">
      <w:pPr>
        <w:rPr>
          <w:lang w:val="uk-UA"/>
        </w:rPr>
      </w:pPr>
    </w:p>
    <w:sectPr w:rsidR="00C9534A" w:rsidRPr="00153B20">
      <w:pgSz w:w="11906" w:h="16838"/>
      <w:pgMar w:top="856" w:right="779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1314"/>
    <w:multiLevelType w:val="multilevel"/>
    <w:tmpl w:val="36048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F18FA"/>
    <w:multiLevelType w:val="multilevel"/>
    <w:tmpl w:val="A6D6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C54F9D"/>
    <w:multiLevelType w:val="multilevel"/>
    <w:tmpl w:val="25ACB4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5692B"/>
    <w:multiLevelType w:val="multilevel"/>
    <w:tmpl w:val="E252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613817"/>
    <w:multiLevelType w:val="multilevel"/>
    <w:tmpl w:val="FE34D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A55B9D"/>
    <w:multiLevelType w:val="multilevel"/>
    <w:tmpl w:val="D0CE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1F5ABD"/>
    <w:multiLevelType w:val="multilevel"/>
    <w:tmpl w:val="A96C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F26567"/>
    <w:multiLevelType w:val="multilevel"/>
    <w:tmpl w:val="EAC4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01E33"/>
    <w:multiLevelType w:val="multilevel"/>
    <w:tmpl w:val="73AC3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6E68BA"/>
    <w:multiLevelType w:val="multilevel"/>
    <w:tmpl w:val="F832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A572FD"/>
    <w:multiLevelType w:val="hybridMultilevel"/>
    <w:tmpl w:val="4F68A28E"/>
    <w:lvl w:ilvl="0" w:tplc="D4928738">
      <w:start w:val="1"/>
      <w:numFmt w:val="bullet"/>
      <w:lvlText w:val="•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3AC8">
      <w:start w:val="1"/>
      <w:numFmt w:val="bullet"/>
      <w:lvlText w:val="o"/>
      <w:lvlJc w:val="left"/>
      <w:pPr>
        <w:ind w:left="23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EC12FC">
      <w:start w:val="1"/>
      <w:numFmt w:val="bullet"/>
      <w:lvlText w:val="▪"/>
      <w:lvlJc w:val="left"/>
      <w:pPr>
        <w:ind w:left="30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ACD304">
      <w:start w:val="1"/>
      <w:numFmt w:val="bullet"/>
      <w:lvlText w:val="•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D8FBAA">
      <w:start w:val="1"/>
      <w:numFmt w:val="bullet"/>
      <w:lvlText w:val="o"/>
      <w:lvlJc w:val="left"/>
      <w:pPr>
        <w:ind w:left="4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5C968C">
      <w:start w:val="1"/>
      <w:numFmt w:val="bullet"/>
      <w:lvlText w:val="▪"/>
      <w:lvlJc w:val="left"/>
      <w:pPr>
        <w:ind w:left="5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56BE1A">
      <w:start w:val="1"/>
      <w:numFmt w:val="bullet"/>
      <w:lvlText w:val="•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D411DA">
      <w:start w:val="1"/>
      <w:numFmt w:val="bullet"/>
      <w:lvlText w:val="o"/>
      <w:lvlJc w:val="left"/>
      <w:pPr>
        <w:ind w:left="6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3AB428">
      <w:start w:val="1"/>
      <w:numFmt w:val="bullet"/>
      <w:lvlText w:val="▪"/>
      <w:lvlJc w:val="left"/>
      <w:pPr>
        <w:ind w:left="7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D514E6"/>
    <w:multiLevelType w:val="multilevel"/>
    <w:tmpl w:val="BF3C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466082"/>
    <w:multiLevelType w:val="multilevel"/>
    <w:tmpl w:val="268E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844929"/>
    <w:multiLevelType w:val="multilevel"/>
    <w:tmpl w:val="E29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334543"/>
    <w:multiLevelType w:val="multilevel"/>
    <w:tmpl w:val="DDF2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B91554"/>
    <w:multiLevelType w:val="multilevel"/>
    <w:tmpl w:val="EC505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851069"/>
    <w:multiLevelType w:val="multilevel"/>
    <w:tmpl w:val="A000C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7E2897"/>
    <w:multiLevelType w:val="multilevel"/>
    <w:tmpl w:val="E08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28277F"/>
    <w:multiLevelType w:val="multilevel"/>
    <w:tmpl w:val="C8B8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3CB15D8"/>
    <w:multiLevelType w:val="multilevel"/>
    <w:tmpl w:val="5D4C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FB5D61"/>
    <w:multiLevelType w:val="multilevel"/>
    <w:tmpl w:val="14F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DA16412"/>
    <w:multiLevelType w:val="multilevel"/>
    <w:tmpl w:val="896E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6"/>
  </w:num>
  <w:num w:numId="3">
    <w:abstractNumId w:val="2"/>
  </w:num>
  <w:num w:numId="4">
    <w:abstractNumId w:val="7"/>
  </w:num>
  <w:num w:numId="5">
    <w:abstractNumId w:val="11"/>
  </w:num>
  <w:num w:numId="6">
    <w:abstractNumId w:val="5"/>
  </w:num>
  <w:num w:numId="7">
    <w:abstractNumId w:val="0"/>
  </w:num>
  <w:num w:numId="8">
    <w:abstractNumId w:val="17"/>
  </w:num>
  <w:num w:numId="9">
    <w:abstractNumId w:val="8"/>
  </w:num>
  <w:num w:numId="10">
    <w:abstractNumId w:val="20"/>
  </w:num>
  <w:num w:numId="11">
    <w:abstractNumId w:val="21"/>
  </w:num>
  <w:num w:numId="12">
    <w:abstractNumId w:val="18"/>
  </w:num>
  <w:num w:numId="13">
    <w:abstractNumId w:val="14"/>
  </w:num>
  <w:num w:numId="14">
    <w:abstractNumId w:val="12"/>
  </w:num>
  <w:num w:numId="15">
    <w:abstractNumId w:val="15"/>
  </w:num>
  <w:num w:numId="16">
    <w:abstractNumId w:val="6"/>
  </w:num>
  <w:num w:numId="17">
    <w:abstractNumId w:val="19"/>
  </w:num>
  <w:num w:numId="18">
    <w:abstractNumId w:val="3"/>
  </w:num>
  <w:num w:numId="19">
    <w:abstractNumId w:val="1"/>
  </w:num>
  <w:num w:numId="20">
    <w:abstractNumId w:val="13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A7"/>
    <w:rsid w:val="000D23A7"/>
    <w:rsid w:val="00153B20"/>
    <w:rsid w:val="00257251"/>
    <w:rsid w:val="00316ACE"/>
    <w:rsid w:val="00382A26"/>
    <w:rsid w:val="006418B6"/>
    <w:rsid w:val="00657FD7"/>
    <w:rsid w:val="00B866DF"/>
    <w:rsid w:val="00C82D7C"/>
    <w:rsid w:val="00C9534A"/>
    <w:rsid w:val="00E015E4"/>
    <w:rsid w:val="00E7459A"/>
    <w:rsid w:val="00E76E78"/>
    <w:rsid w:val="00FA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C4D22-1D6A-4F7A-970A-882B4B5F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7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2022-05-10T11:38:00Z</dcterms:created>
  <dcterms:modified xsi:type="dcterms:W3CDTF">2022-05-11T06:58:00Z</dcterms:modified>
</cp:coreProperties>
</file>